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81177">
      <w:pPr>
        <w:jc w:val="center"/>
        <w:outlineLvl w:val="0"/>
        <w:rPr>
          <w:rFonts w:hint="eastAsia" w:ascii="黑体" w:hAnsi="黑体" w:eastAsia="黑体"/>
          <w:sz w:val="32"/>
          <w:szCs w:val="32"/>
        </w:rPr>
      </w:pPr>
    </w:p>
    <w:p w14:paraId="04A2C5BF">
      <w:pPr>
        <w:jc w:val="center"/>
        <w:outlineLvl w:val="0"/>
        <w:rPr>
          <w:rFonts w:hint="eastAsia" w:ascii="黑体" w:hAnsi="黑体" w:eastAsia="黑体"/>
          <w:sz w:val="32"/>
          <w:szCs w:val="32"/>
        </w:rPr>
      </w:pPr>
    </w:p>
    <w:p w14:paraId="7388D6BF">
      <w:pPr>
        <w:jc w:val="center"/>
        <w:outlineLvl w:val="0"/>
        <w:rPr>
          <w:rFonts w:hint="eastAsia" w:ascii="黑体" w:hAnsi="黑体" w:eastAsia="黑体"/>
          <w:sz w:val="32"/>
          <w:szCs w:val="32"/>
        </w:rPr>
      </w:pPr>
    </w:p>
    <w:p w14:paraId="63A35D96">
      <w:pPr>
        <w:jc w:val="center"/>
        <w:outlineLvl w:val="0"/>
        <w:rPr>
          <w:rFonts w:hint="eastAsia" w:ascii="黑体" w:hAnsi="黑体" w:eastAsia="黑体"/>
          <w:sz w:val="32"/>
          <w:szCs w:val="32"/>
        </w:rPr>
      </w:pPr>
    </w:p>
    <w:p w14:paraId="0D4A3B9B">
      <w:pPr>
        <w:jc w:val="center"/>
        <w:outlineLvl w:val="0"/>
        <w:rPr>
          <w:rFonts w:hint="eastAsia" w:ascii="黑体" w:hAnsi="黑体" w:eastAsia="黑体"/>
          <w:sz w:val="32"/>
          <w:szCs w:val="32"/>
        </w:rPr>
      </w:pPr>
    </w:p>
    <w:p w14:paraId="73DD634D">
      <w:pPr>
        <w:jc w:val="center"/>
        <w:outlineLvl w:val="0"/>
        <w:rPr>
          <w:rFonts w:hint="eastAsia" w:ascii="黑体" w:hAnsi="黑体" w:eastAsia="黑体"/>
          <w:sz w:val="32"/>
          <w:szCs w:val="32"/>
        </w:rPr>
      </w:pPr>
    </w:p>
    <w:p w14:paraId="0F377171">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D07C840">
      <w:pPr>
        <w:spacing w:line="540" w:lineRule="exact"/>
        <w:jc w:val="center"/>
        <w:rPr>
          <w:rFonts w:hint="eastAsia" w:ascii="华文中宋" w:hAnsi="华文中宋" w:eastAsia="华文中宋" w:cs="宋体"/>
          <w:b/>
          <w:kern w:val="0"/>
          <w:sz w:val="52"/>
          <w:szCs w:val="52"/>
        </w:rPr>
      </w:pPr>
    </w:p>
    <w:p w14:paraId="0E9A350A">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6"/>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CF188CA">
      <w:pPr>
        <w:spacing w:line="540" w:lineRule="exact"/>
        <w:jc w:val="center"/>
        <w:rPr>
          <w:rFonts w:hint="eastAsia" w:hAnsi="宋体" w:eastAsia="仿宋_GB2312" w:cs="宋体"/>
          <w:kern w:val="0"/>
          <w:sz w:val="30"/>
          <w:szCs w:val="30"/>
        </w:rPr>
      </w:pPr>
    </w:p>
    <w:p w14:paraId="69198426">
      <w:pPr>
        <w:spacing w:line="540" w:lineRule="exact"/>
        <w:jc w:val="center"/>
        <w:rPr>
          <w:rFonts w:hint="eastAsia" w:hAnsi="宋体" w:eastAsia="仿宋_GB2312" w:cs="宋体"/>
          <w:kern w:val="0"/>
          <w:sz w:val="30"/>
          <w:szCs w:val="30"/>
        </w:rPr>
      </w:pPr>
    </w:p>
    <w:p w14:paraId="12EF8CAF">
      <w:pPr>
        <w:spacing w:line="540" w:lineRule="exact"/>
        <w:jc w:val="center"/>
        <w:rPr>
          <w:rFonts w:hint="eastAsia" w:hAnsi="宋体" w:eastAsia="仿宋_GB2312" w:cs="宋体"/>
          <w:kern w:val="0"/>
          <w:sz w:val="30"/>
          <w:szCs w:val="30"/>
        </w:rPr>
      </w:pPr>
    </w:p>
    <w:p w14:paraId="0AF4D81D">
      <w:pPr>
        <w:spacing w:line="540" w:lineRule="exact"/>
        <w:jc w:val="center"/>
        <w:rPr>
          <w:rFonts w:hint="eastAsia" w:hAnsi="宋体" w:eastAsia="仿宋_GB2312" w:cs="宋体"/>
          <w:kern w:val="0"/>
          <w:sz w:val="30"/>
          <w:szCs w:val="30"/>
        </w:rPr>
      </w:pPr>
    </w:p>
    <w:p w14:paraId="6E138F66">
      <w:pPr>
        <w:spacing w:line="540" w:lineRule="exact"/>
        <w:jc w:val="center"/>
        <w:rPr>
          <w:rFonts w:hint="eastAsia" w:hAnsi="宋体" w:eastAsia="仿宋_GB2312" w:cs="宋体"/>
          <w:kern w:val="0"/>
          <w:sz w:val="30"/>
          <w:szCs w:val="30"/>
        </w:rPr>
      </w:pPr>
    </w:p>
    <w:p w14:paraId="7F71251A">
      <w:pPr>
        <w:spacing w:line="540" w:lineRule="exact"/>
        <w:jc w:val="center"/>
        <w:rPr>
          <w:rFonts w:hint="eastAsia" w:hAnsi="宋体" w:eastAsia="仿宋_GB2312" w:cs="宋体"/>
          <w:kern w:val="0"/>
          <w:sz w:val="30"/>
          <w:szCs w:val="30"/>
        </w:rPr>
      </w:pPr>
    </w:p>
    <w:p w14:paraId="32A949C3">
      <w:pPr>
        <w:spacing w:line="540" w:lineRule="exact"/>
        <w:rPr>
          <w:rFonts w:hint="eastAsia" w:hAnsi="宋体" w:eastAsia="仿宋_GB2312" w:cs="宋体"/>
          <w:kern w:val="0"/>
          <w:sz w:val="30"/>
          <w:szCs w:val="30"/>
        </w:rPr>
      </w:pPr>
    </w:p>
    <w:p w14:paraId="237F864C">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6E4FDDE2">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6"/>
          <w:rFonts w:hint="eastAsia" w:ascii="楷体" w:hAnsi="楷体" w:eastAsia="楷体"/>
          <w:spacing w:val="-4"/>
          <w:sz w:val="32"/>
          <w:szCs w:val="32"/>
        </w:rPr>
        <w:t>政府办公室购置新能源车辆资金</w:t>
      </w:r>
    </w:p>
    <w:p w14:paraId="090023DC">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6"/>
          <w:rFonts w:hint="eastAsia" w:ascii="楷体" w:hAnsi="楷体" w:eastAsia="楷体"/>
          <w:spacing w:val="-4"/>
          <w:sz w:val="28"/>
          <w:szCs w:val="28"/>
        </w:rPr>
        <w:t>木垒哈萨克自治县人民政府办公室</w:t>
      </w:r>
    </w:p>
    <w:p w14:paraId="656C7308">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6"/>
          <w:rFonts w:hint="eastAsia" w:ascii="楷体" w:hAnsi="楷体" w:eastAsia="楷体"/>
          <w:spacing w:val="-4"/>
          <w:sz w:val="28"/>
          <w:szCs w:val="28"/>
        </w:rPr>
        <w:t>木垒哈萨克自治县人民政府办公室</w:t>
      </w:r>
      <w:bookmarkStart w:id="0" w:name="_GoBack"/>
      <w:bookmarkEnd w:id="0"/>
    </w:p>
    <w:p w14:paraId="0C85D805">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6"/>
          <w:rFonts w:hint="eastAsia" w:ascii="楷体" w:hAnsi="楷体" w:eastAsia="楷体"/>
          <w:spacing w:val="-4"/>
          <w:sz w:val="32"/>
          <w:szCs w:val="32"/>
        </w:rPr>
        <w:t>崔永忠</w:t>
      </w:r>
    </w:p>
    <w:p w14:paraId="05BCF0B1">
      <w:pPr>
        <w:spacing w:line="540" w:lineRule="exact"/>
        <w:ind w:firstLine="1080" w:firstLineChars="300"/>
        <w:rPr>
          <w:rStyle w:val="6"/>
          <w:rFonts w:hint="eastAsia" w:ascii="楷体" w:hAnsi="楷体" w:eastAsia="楷体"/>
          <w:spacing w:val="-4"/>
          <w:sz w:val="32"/>
          <w:szCs w:val="32"/>
        </w:rPr>
      </w:pPr>
      <w:r>
        <w:rPr>
          <w:rFonts w:hint="eastAsia" w:hAnsi="宋体" w:eastAsia="仿宋_GB2312" w:cs="宋体"/>
          <w:kern w:val="0"/>
          <w:sz w:val="36"/>
          <w:szCs w:val="36"/>
        </w:rPr>
        <w:t>填报时间：</w:t>
      </w:r>
      <w:r>
        <w:rPr>
          <w:rStyle w:val="6"/>
          <w:rFonts w:hint="eastAsia" w:ascii="楷体" w:hAnsi="楷体" w:eastAsia="楷体"/>
          <w:spacing w:val="-4"/>
          <w:sz w:val="32"/>
          <w:szCs w:val="32"/>
        </w:rPr>
        <w:t>2024年04月19日</w:t>
      </w:r>
    </w:p>
    <w:p w14:paraId="3C6A649B">
      <w:pPr>
        <w:spacing w:line="700" w:lineRule="exact"/>
        <w:ind w:firstLine="708" w:firstLineChars="236"/>
        <w:jc w:val="left"/>
        <w:rPr>
          <w:rFonts w:hint="eastAsia" w:hAnsi="宋体" w:eastAsia="仿宋_GB2312" w:cs="宋体"/>
          <w:kern w:val="0"/>
          <w:sz w:val="30"/>
          <w:szCs w:val="30"/>
        </w:rPr>
      </w:pPr>
    </w:p>
    <w:p w14:paraId="58A271E3">
      <w:pPr>
        <w:spacing w:line="540" w:lineRule="exact"/>
        <w:rPr>
          <w:rStyle w:val="6"/>
          <w:rFonts w:hint="eastAsia" w:ascii="黑体" w:hAnsi="黑体" w:eastAsia="黑体"/>
          <w:b w:val="0"/>
          <w:spacing w:val="-4"/>
          <w:sz w:val="32"/>
          <w:szCs w:val="32"/>
        </w:rPr>
      </w:pPr>
    </w:p>
    <w:p w14:paraId="6AF7FAA9">
      <w:p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一、基本情况</w:t>
      </w:r>
    </w:p>
    <w:p w14:paraId="4658267F">
      <w:pPr>
        <w:spacing w:line="540" w:lineRule="exact"/>
        <w:ind w:firstLine="567"/>
        <w:rPr>
          <w:rStyle w:val="6"/>
          <w:rFonts w:hint="eastAsia" w:ascii="楷体" w:hAnsi="楷体" w:eastAsia="楷体"/>
          <w:spacing w:val="-4"/>
          <w:sz w:val="32"/>
          <w:szCs w:val="32"/>
        </w:rPr>
      </w:pPr>
      <w:r>
        <w:rPr>
          <w:rStyle w:val="6"/>
          <w:rFonts w:hint="eastAsia" w:ascii="楷体" w:hAnsi="楷体" w:eastAsia="楷体"/>
          <w:spacing w:val="-4"/>
          <w:sz w:val="32"/>
          <w:szCs w:val="32"/>
        </w:rPr>
        <w:t>（一）项目概况。</w:t>
      </w:r>
    </w:p>
    <w:p w14:paraId="3EC9AEC7">
      <w:pPr>
        <w:spacing w:line="540" w:lineRule="exact"/>
        <w:ind w:firstLine="567"/>
        <w:rPr>
          <w:rStyle w:val="6"/>
          <w:rFonts w:hint="eastAsia" w:ascii="楷体" w:hAnsi="楷体" w:eastAsia="楷体"/>
          <w:b w:val="0"/>
          <w:spacing w:val="-4"/>
          <w:sz w:val="32"/>
          <w:szCs w:val="32"/>
        </w:rPr>
      </w:pPr>
      <w:r>
        <w:rPr>
          <w:rStyle w:val="6"/>
          <w:rFonts w:hint="eastAsia" w:ascii="楷体" w:hAnsi="楷体" w:eastAsia="楷体"/>
          <w:spacing w:val="-4"/>
          <w:sz w:val="32"/>
          <w:szCs w:val="32"/>
        </w:rPr>
        <w:t>（一）项目概况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1.项目背景</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目前，能源和环境问题日益严重，大力发展节能与新能源汽车是解决能源环境问题的有效途径。新能源汽车产业是战略性新兴产业，除了纯电动汽车产业之外，还包括天然气汽车、低速汽车，车联网技术等。发展节能汽车是推动节能减排的有效举措，纯电动汽车在运行过程中可以做到零污染，完全不排放污染大气的有害气体，即使按所耗电量换算为发电厂的排放，造成的污染也少于传统汽车。汽车工业的发展不仅给社会经济带来了机遇和活力，也为人们的日常出行带来了便利，但能源的过度消耗、消费及环境污染，已成为制约制约汽车工业甚至人类社会可持续发展的障碍。因此，汽车的节能和环保是目前急需解决的问题，现阶段新能源汽车既能减少环境的污染，又能减少车辆运行费用支出，改善公民出行意识，提高绿色出行率。</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2.项目主要内容</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根据木县党财（2022）43号文件，下达我单位购置新能源汽车专项资金51.51万元，用于购置3辆新能源汽车。</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3.项目实施情况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截止项目自评之日，我单位已完成如下工作：木垒县政府办公室根据工作需要，购置新能源车辆3辆，方便干部办公出行，提高工作效率，降低车辆维修费用，减少环境污染。</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4.资金投入和使用情况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政府办公室购置新能源车辆资金项目资金于2023年4月17日木垒县党办下发的木县党财（2023）44号文件安排资金为50.51万元，为本级财政资金，实际到位率51.51万元，资金到位率100%，实际执行51.51万元，执行率100%，资金落实到位。为确保项目资金的安全有效使用、安全运行，提高资金的使用效率，我单位严格按照木垒县政府办公室财务会计内部控制制度执行，资金由财政大平台统一拨付，由财政监管，严禁随意调整预算，改变支出用途，做到专款专用，严禁截留、挪用、挤占项目资金等违规违纪问题的发生。</w:t>
      </w:r>
    </w:p>
    <w:p w14:paraId="5A42DD8F">
      <w:pPr>
        <w:spacing w:line="540" w:lineRule="exact"/>
        <w:ind w:firstLine="567"/>
        <w:rPr>
          <w:rStyle w:val="6"/>
          <w:rFonts w:hint="eastAsia" w:ascii="楷体" w:hAnsi="楷体" w:eastAsia="楷体"/>
          <w:spacing w:val="-4"/>
          <w:sz w:val="32"/>
          <w:szCs w:val="32"/>
        </w:rPr>
      </w:pPr>
      <w:r>
        <w:rPr>
          <w:rStyle w:val="6"/>
          <w:rFonts w:hint="eastAsia" w:ascii="楷体" w:hAnsi="楷体" w:eastAsia="楷体"/>
          <w:spacing w:val="-4"/>
          <w:sz w:val="32"/>
          <w:szCs w:val="32"/>
        </w:rPr>
        <w:t>（二）项目绩效目标</w:t>
      </w:r>
    </w:p>
    <w:p w14:paraId="523AABE9">
      <w:pPr>
        <w:spacing w:line="540" w:lineRule="exact"/>
        <w:rPr>
          <w:rStyle w:val="6"/>
          <w:rFonts w:hint="eastAsia" w:ascii="楷体" w:hAnsi="楷体" w:eastAsia="楷体"/>
          <w:b w:val="0"/>
          <w:spacing w:val="-4"/>
          <w:sz w:val="32"/>
          <w:szCs w:val="32"/>
        </w:rPr>
      </w:pPr>
      <w:r>
        <w:rPr>
          <w:rStyle w:val="6"/>
          <w:rFonts w:hint="eastAsia" w:ascii="楷体" w:hAnsi="楷体" w:eastAsia="楷体"/>
          <w:spacing w:val="-4"/>
          <w:sz w:val="32"/>
          <w:szCs w:val="32"/>
        </w:rPr>
        <w:t>1.总体目标</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木垒县政府办公室根据年度工作需求，申请财政资金50.51万元，购置新能源车辆3辆，方便干部办公出行，提高工作效率，降低车辆维修费用，减少环境污染。</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2.阶段性目标</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截止2023年12月，我单位已完成如下工作：木垒县政府办公室根据工作需要，购置新能源车辆3辆，方便干部办公出行，提高工作效率，降低车辆维修费用，减少环境污染。</w:t>
      </w:r>
    </w:p>
    <w:p w14:paraId="2FE1F83D">
      <w:p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二、绩效评价工作开展情况</w:t>
      </w:r>
    </w:p>
    <w:p w14:paraId="0AFD19E6">
      <w:pPr>
        <w:spacing w:line="540" w:lineRule="exact"/>
        <w:ind w:firstLine="567" w:firstLineChars="181"/>
        <w:rPr>
          <w:rStyle w:val="6"/>
          <w:rFonts w:hint="eastAsia" w:ascii="楷体" w:hAnsi="楷体" w:eastAsia="楷体"/>
          <w:spacing w:val="-4"/>
          <w:sz w:val="32"/>
          <w:szCs w:val="32"/>
        </w:rPr>
      </w:pPr>
      <w:r>
        <w:rPr>
          <w:rStyle w:val="6"/>
          <w:rFonts w:hint="eastAsia" w:ascii="楷体" w:hAnsi="楷体" w:eastAsia="楷体"/>
          <w:spacing w:val="-4"/>
          <w:sz w:val="32"/>
          <w:szCs w:val="32"/>
        </w:rPr>
        <w:t>（一）绩效评价目的、对象和范围</w:t>
      </w:r>
    </w:p>
    <w:p w14:paraId="2AD748F3">
      <w:pPr>
        <w:spacing w:line="540" w:lineRule="exact"/>
        <w:rPr>
          <w:rStyle w:val="6"/>
          <w:rFonts w:hint="eastAsia" w:ascii="楷体" w:hAnsi="楷体" w:eastAsia="楷体"/>
          <w:b w:val="0"/>
          <w:spacing w:val="-4"/>
          <w:sz w:val="32"/>
          <w:szCs w:val="32"/>
        </w:rPr>
      </w:pPr>
      <w:r>
        <w:rPr>
          <w:rStyle w:val="6"/>
          <w:rFonts w:hint="eastAsia" w:ascii="楷体" w:hAnsi="楷体" w:eastAsia="楷体"/>
          <w:spacing w:val="-4"/>
          <w:sz w:val="32"/>
          <w:szCs w:val="32"/>
        </w:rPr>
        <w:t>1.绩效评价目的</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通过对2023年度本级财政下拨的木垒县政府办购置新能源车辆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2.绩效评价对象</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木垒县政府办公室购置新能源车辆项目支出资金。</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3.绩效评价范围</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本次评价主要对木垒县政府办购置新能源车辆项目资金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20165531">
      <w:pPr>
        <w:spacing w:line="540" w:lineRule="exact"/>
        <w:ind w:firstLine="567"/>
        <w:rPr>
          <w:rStyle w:val="6"/>
          <w:rFonts w:hint="eastAsia" w:ascii="楷体" w:hAnsi="楷体" w:eastAsia="楷体"/>
          <w:spacing w:val="-4"/>
          <w:sz w:val="32"/>
          <w:szCs w:val="32"/>
        </w:rPr>
      </w:pPr>
      <w:r>
        <w:rPr>
          <w:rStyle w:val="6"/>
          <w:rFonts w:hint="eastAsia" w:ascii="楷体" w:hAnsi="楷体" w:eastAsia="楷体"/>
          <w:spacing w:val="-4"/>
          <w:sz w:val="32"/>
          <w:szCs w:val="32"/>
        </w:rPr>
        <w:t>（二）绩效评价原则、评价指标体系、评价方法、评价标准</w:t>
      </w:r>
    </w:p>
    <w:p w14:paraId="13CEF426">
      <w:pPr>
        <w:spacing w:line="540" w:lineRule="exact"/>
        <w:rPr>
          <w:rStyle w:val="6"/>
          <w:rFonts w:hint="eastAsia" w:ascii="楷体" w:hAnsi="楷体" w:eastAsia="楷体"/>
          <w:b w:val="0"/>
          <w:spacing w:val="-4"/>
          <w:sz w:val="32"/>
          <w:szCs w:val="32"/>
        </w:rPr>
      </w:pPr>
      <w:r>
        <w:rPr>
          <w:rStyle w:val="6"/>
          <w:rFonts w:hint="eastAsia" w:ascii="楷体" w:hAnsi="楷体" w:eastAsia="楷体"/>
          <w:spacing w:val="-4"/>
          <w:sz w:val="32"/>
          <w:szCs w:val="32"/>
        </w:rPr>
        <w:t>1.绩效评价原则</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本次绩效评价严格按照《财政部关于印发&lt;项目支出绩效评价管理办法&gt;的通知》（财预【2020】10号）等文件要求，按照科学合理的方式，综合分析考核项目的绩效情况。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（1）科学规范原则。坚持严格执行规定的程序，按照科学可行的要求，采用定量与定性分析相结合的方法。</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（2）公正公开原则。坚持符合真实、客观、公正的要求，依法公开并接受监督。</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（3）分级分类原则。坚持根据评价对象的特点分类组织实施。</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（4）绩效相关原则。应当针对具体支出及其产出绩效进行，评价结果应当清晰反映支出和产出绩效之间的紧密对应关系。</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2.评价指标体系</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3.评价方法</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本项目主要采用全面评价和重点评价相结合、现场评价和非现场评价相结合的方式，运用综合评分法进行评价。</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4.评价标准</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057903E4">
      <w:pPr>
        <w:spacing w:line="540" w:lineRule="exact"/>
        <w:ind w:firstLine="567" w:firstLineChars="181"/>
        <w:rPr>
          <w:rStyle w:val="6"/>
          <w:rFonts w:hint="eastAsia" w:ascii="楷体" w:hAnsi="楷体" w:eastAsia="楷体"/>
          <w:spacing w:val="-4"/>
          <w:sz w:val="32"/>
          <w:szCs w:val="32"/>
        </w:rPr>
      </w:pPr>
      <w:r>
        <w:rPr>
          <w:rStyle w:val="6"/>
          <w:rFonts w:hint="eastAsia" w:ascii="楷体" w:hAnsi="楷体" w:eastAsia="楷体"/>
          <w:spacing w:val="-4"/>
          <w:sz w:val="32"/>
          <w:szCs w:val="32"/>
        </w:rPr>
        <w:t>（三）绩效评价工作过程</w:t>
      </w:r>
    </w:p>
    <w:p w14:paraId="0E96EA25">
      <w:pPr>
        <w:spacing w:line="540" w:lineRule="exact"/>
        <w:rPr>
          <w:rStyle w:val="6"/>
          <w:rFonts w:hint="eastAsia" w:ascii="楷体" w:hAnsi="楷体" w:eastAsia="楷体"/>
          <w:b w:val="0"/>
          <w:spacing w:val="-4"/>
          <w:sz w:val="32"/>
          <w:szCs w:val="32"/>
        </w:rPr>
      </w:pPr>
      <w:r>
        <w:rPr>
          <w:rStyle w:val="6"/>
          <w:rFonts w:hint="eastAsia" w:ascii="楷体" w:hAnsi="楷体" w:eastAsia="楷体"/>
          <w:spacing w:val="-4"/>
          <w:sz w:val="32"/>
          <w:szCs w:val="32"/>
        </w:rPr>
        <w:t>1.前期准备</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1.1 2024年3月10日，我单位在收到自评工作任务后及时组织了绩效评价工作小组，其中崔永忠为组长，主要负责工作安排，阿不都赛买提·马合沙提为副组长，主要负责报告的审核、指导，绩效小组组员负责资料、数据整理，编制报告。小组制定了项目评价的工作思路及工作安排，参考学习了相关政策制度、实施方案和相关的工作文件，为评价工作的开展提供工作指引。</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1.22024年3月11日，评价组通过前期调研确定绩效评价对象和范围，确定了评价的目的、方法以及评价的原则；</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1.3 2024年3月12日，根据项目的实施内容和特征制定了评价指标体系及评价标准以及评价实施方案，修正并确定所需资料清单，最终确定绩效评价工作方案；</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2.组织实施</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2024年3月12日- 3月30日，评价工作进入实施阶段：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2.1  评价组收集绩效评价相关数据资料，进行现场调研、座谈；</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3.分析评价：</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2024年4月1日- 4月15日，评价组按照绩效评价的原则和规范，对取得的资料进行审查核实，对采集的数据进行分析，按照绩效评价指标评分表逐项进行打分、分析，汇总各方评价结果，综合分析并形成评价结论。</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4.撰写报告</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5.资料归档</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评价小组对已完成的评价项目资料进行整理、封装，完善绩效评价工作底稿，并将资料整理成册后交档案室统一归档保存，以备后期查阅。</w:t>
      </w:r>
    </w:p>
    <w:p w14:paraId="4EA13647">
      <w:p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三、综合评价情况及评价结论</w:t>
      </w:r>
    </w:p>
    <w:p w14:paraId="19AC1B69">
      <w:pPr>
        <w:spacing w:line="540" w:lineRule="exact"/>
        <w:rPr>
          <w:rStyle w:val="6"/>
          <w:rFonts w:hint="eastAsia" w:ascii="楷体" w:hAnsi="楷体" w:eastAsia="楷体"/>
          <w:b w:val="0"/>
          <w:spacing w:val="-4"/>
          <w:sz w:val="32"/>
          <w:szCs w:val="32"/>
        </w:rPr>
      </w:pPr>
      <w:r>
        <w:rPr>
          <w:rStyle w:val="6"/>
          <w:rFonts w:hint="eastAsia" w:ascii="楷体" w:hAnsi="楷体" w:eastAsia="楷体"/>
          <w:spacing w:val="-4"/>
          <w:sz w:val="32"/>
          <w:szCs w:val="32"/>
        </w:rPr>
        <w:t>（一）综合评价情况及评价结论</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政府办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本项目通过制定的评价指标体系及评分标准，运用数据采集、问卷调查及访谈等方式，对本项目绩效进行客观评价，最终评分结果：总分为100分。</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（二）相关评分表</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各部分权重和绩效分值如下表所示：（详细评分表见附表）</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w:t>
      </w:r>
      <w:r>
        <w:rPr>
          <w:rStyle w:val="6"/>
          <w:rFonts w:hint="eastAsia" w:ascii="楷体" w:hAnsi="楷体" w:eastAsia="楷体"/>
          <w:spacing w:val="-4"/>
          <w:sz w:val="32"/>
          <w:szCs w:val="32"/>
        </w:rPr>
        <w:tab/>
      </w:r>
      <w:r>
        <w:rPr>
          <w:rStyle w:val="6"/>
          <w:rFonts w:hint="eastAsia" w:ascii="楷体" w:hAnsi="楷体" w:eastAsia="楷体"/>
          <w:spacing w:val="-4"/>
          <w:sz w:val="32"/>
          <w:szCs w:val="32"/>
        </w:rPr>
        <w:t>项目决策</w:t>
      </w:r>
      <w:r>
        <w:rPr>
          <w:rStyle w:val="6"/>
          <w:rFonts w:hint="eastAsia" w:ascii="楷体" w:hAnsi="楷体" w:eastAsia="楷体"/>
          <w:spacing w:val="-4"/>
          <w:sz w:val="32"/>
          <w:szCs w:val="32"/>
        </w:rPr>
        <w:tab/>
      </w:r>
      <w:r>
        <w:rPr>
          <w:rStyle w:val="6"/>
          <w:rFonts w:hint="eastAsia" w:ascii="楷体" w:hAnsi="楷体" w:eastAsia="楷体"/>
          <w:spacing w:val="-4"/>
          <w:sz w:val="32"/>
          <w:szCs w:val="32"/>
        </w:rPr>
        <w:t>项目过程</w:t>
      </w:r>
      <w:r>
        <w:rPr>
          <w:rStyle w:val="6"/>
          <w:rFonts w:hint="eastAsia" w:ascii="楷体" w:hAnsi="楷体" w:eastAsia="楷体"/>
          <w:spacing w:val="-4"/>
          <w:sz w:val="32"/>
          <w:szCs w:val="32"/>
        </w:rPr>
        <w:tab/>
      </w:r>
      <w:r>
        <w:rPr>
          <w:rStyle w:val="6"/>
          <w:rFonts w:hint="eastAsia" w:ascii="楷体" w:hAnsi="楷体" w:eastAsia="楷体"/>
          <w:spacing w:val="-4"/>
          <w:sz w:val="32"/>
          <w:szCs w:val="32"/>
        </w:rPr>
        <w:t>项目产出</w:t>
      </w:r>
      <w:r>
        <w:rPr>
          <w:rStyle w:val="6"/>
          <w:rFonts w:hint="eastAsia" w:ascii="楷体" w:hAnsi="楷体" w:eastAsia="楷体"/>
          <w:spacing w:val="-4"/>
          <w:sz w:val="32"/>
          <w:szCs w:val="32"/>
        </w:rPr>
        <w:tab/>
      </w:r>
      <w:r>
        <w:rPr>
          <w:rStyle w:val="6"/>
          <w:rFonts w:hint="eastAsia" w:ascii="楷体" w:hAnsi="楷体" w:eastAsia="楷体"/>
          <w:spacing w:val="-4"/>
          <w:sz w:val="32"/>
          <w:szCs w:val="32"/>
        </w:rPr>
        <w:t>项目效益</w:t>
      </w:r>
      <w:r>
        <w:rPr>
          <w:rStyle w:val="6"/>
          <w:rFonts w:hint="eastAsia" w:ascii="楷体" w:hAnsi="楷体" w:eastAsia="楷体"/>
          <w:spacing w:val="-4"/>
          <w:sz w:val="32"/>
          <w:szCs w:val="32"/>
        </w:rPr>
        <w:tab/>
      </w:r>
      <w:r>
        <w:rPr>
          <w:rStyle w:val="6"/>
          <w:rFonts w:hint="eastAsia" w:ascii="楷体" w:hAnsi="楷体" w:eastAsia="楷体"/>
          <w:spacing w:val="-4"/>
          <w:sz w:val="32"/>
          <w:szCs w:val="32"/>
        </w:rPr>
        <w:t>合计分值</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权重</w:t>
      </w:r>
      <w:r>
        <w:rPr>
          <w:rStyle w:val="6"/>
          <w:rFonts w:hint="eastAsia" w:ascii="楷体" w:hAnsi="楷体" w:eastAsia="楷体"/>
          <w:spacing w:val="-4"/>
          <w:sz w:val="32"/>
          <w:szCs w:val="32"/>
        </w:rPr>
        <w:tab/>
      </w:r>
      <w:r>
        <w:rPr>
          <w:rStyle w:val="6"/>
          <w:rFonts w:hint="eastAsia" w:ascii="楷体" w:hAnsi="楷体" w:eastAsia="楷体"/>
          <w:spacing w:val="-4"/>
          <w:sz w:val="32"/>
          <w:szCs w:val="32"/>
        </w:rPr>
        <w:t>15</w:t>
      </w:r>
      <w:r>
        <w:rPr>
          <w:rStyle w:val="6"/>
          <w:rFonts w:hint="eastAsia" w:ascii="楷体" w:hAnsi="楷体" w:eastAsia="楷体"/>
          <w:spacing w:val="-4"/>
          <w:sz w:val="32"/>
          <w:szCs w:val="32"/>
        </w:rPr>
        <w:tab/>
      </w:r>
      <w:r>
        <w:rPr>
          <w:rStyle w:val="6"/>
          <w:rFonts w:hint="eastAsia" w:ascii="楷体" w:hAnsi="楷体" w:eastAsia="楷体"/>
          <w:spacing w:val="-4"/>
          <w:sz w:val="32"/>
          <w:szCs w:val="32"/>
        </w:rPr>
        <w:t>15</w:t>
      </w:r>
      <w:r>
        <w:rPr>
          <w:rStyle w:val="6"/>
          <w:rFonts w:hint="eastAsia" w:ascii="楷体" w:hAnsi="楷体" w:eastAsia="楷体"/>
          <w:spacing w:val="-4"/>
          <w:sz w:val="32"/>
          <w:szCs w:val="32"/>
        </w:rPr>
        <w:tab/>
      </w:r>
      <w:r>
        <w:rPr>
          <w:rStyle w:val="6"/>
          <w:rFonts w:hint="eastAsia" w:ascii="楷体" w:hAnsi="楷体" w:eastAsia="楷体"/>
          <w:spacing w:val="-4"/>
          <w:sz w:val="32"/>
          <w:szCs w:val="32"/>
        </w:rPr>
        <w:t>50</w:t>
      </w:r>
      <w:r>
        <w:rPr>
          <w:rStyle w:val="6"/>
          <w:rFonts w:hint="eastAsia" w:ascii="楷体" w:hAnsi="楷体" w:eastAsia="楷体"/>
          <w:spacing w:val="-4"/>
          <w:sz w:val="32"/>
          <w:szCs w:val="32"/>
        </w:rPr>
        <w:tab/>
      </w:r>
      <w:r>
        <w:rPr>
          <w:rStyle w:val="6"/>
          <w:rFonts w:hint="eastAsia" w:ascii="楷体" w:hAnsi="楷体" w:eastAsia="楷体"/>
          <w:spacing w:val="-4"/>
          <w:sz w:val="32"/>
          <w:szCs w:val="32"/>
        </w:rPr>
        <w:t>20</w:t>
      </w:r>
      <w:r>
        <w:rPr>
          <w:rStyle w:val="6"/>
          <w:rFonts w:hint="eastAsia" w:ascii="楷体" w:hAnsi="楷体" w:eastAsia="楷体"/>
          <w:spacing w:val="-4"/>
          <w:sz w:val="32"/>
          <w:szCs w:val="32"/>
        </w:rPr>
        <w:tab/>
      </w:r>
      <w:r>
        <w:rPr>
          <w:rStyle w:val="6"/>
          <w:rFonts w:hint="eastAsia" w:ascii="楷体" w:hAnsi="楷体" w:eastAsia="楷体"/>
          <w:spacing w:val="-4"/>
          <w:sz w:val="32"/>
          <w:szCs w:val="32"/>
        </w:rPr>
        <w:t>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分值</w:t>
      </w:r>
      <w:r>
        <w:rPr>
          <w:rStyle w:val="6"/>
          <w:rFonts w:hint="eastAsia" w:ascii="楷体" w:hAnsi="楷体" w:eastAsia="楷体"/>
          <w:spacing w:val="-4"/>
          <w:sz w:val="32"/>
          <w:szCs w:val="32"/>
        </w:rPr>
        <w:tab/>
      </w:r>
      <w:r>
        <w:rPr>
          <w:rStyle w:val="6"/>
          <w:rFonts w:hint="eastAsia" w:ascii="楷体" w:hAnsi="楷体" w:eastAsia="楷体"/>
          <w:spacing w:val="-4"/>
          <w:sz w:val="32"/>
          <w:szCs w:val="32"/>
        </w:rPr>
        <w:t>15</w:t>
      </w:r>
      <w:r>
        <w:rPr>
          <w:rStyle w:val="6"/>
          <w:rFonts w:hint="eastAsia" w:ascii="楷体" w:hAnsi="楷体" w:eastAsia="楷体"/>
          <w:spacing w:val="-4"/>
          <w:sz w:val="32"/>
          <w:szCs w:val="32"/>
        </w:rPr>
        <w:tab/>
      </w:r>
      <w:r>
        <w:rPr>
          <w:rStyle w:val="6"/>
          <w:rFonts w:hint="eastAsia" w:ascii="楷体" w:hAnsi="楷体" w:eastAsia="楷体"/>
          <w:spacing w:val="-4"/>
          <w:sz w:val="32"/>
          <w:szCs w:val="32"/>
        </w:rPr>
        <w:t>15</w:t>
      </w:r>
      <w:r>
        <w:rPr>
          <w:rStyle w:val="6"/>
          <w:rFonts w:hint="eastAsia" w:ascii="楷体" w:hAnsi="楷体" w:eastAsia="楷体"/>
          <w:spacing w:val="-4"/>
          <w:sz w:val="32"/>
          <w:szCs w:val="32"/>
        </w:rPr>
        <w:tab/>
      </w:r>
      <w:r>
        <w:rPr>
          <w:rStyle w:val="6"/>
          <w:rFonts w:hint="eastAsia" w:ascii="楷体" w:hAnsi="楷体" w:eastAsia="楷体"/>
          <w:spacing w:val="-4"/>
          <w:sz w:val="32"/>
          <w:szCs w:val="32"/>
        </w:rPr>
        <w:t>50</w:t>
      </w:r>
      <w:r>
        <w:rPr>
          <w:rStyle w:val="6"/>
          <w:rFonts w:hint="eastAsia" w:ascii="楷体" w:hAnsi="楷体" w:eastAsia="楷体"/>
          <w:spacing w:val="-4"/>
          <w:sz w:val="32"/>
          <w:szCs w:val="32"/>
        </w:rPr>
        <w:tab/>
      </w:r>
      <w:r>
        <w:rPr>
          <w:rStyle w:val="6"/>
          <w:rFonts w:hint="eastAsia" w:ascii="楷体" w:hAnsi="楷体" w:eastAsia="楷体"/>
          <w:spacing w:val="-4"/>
          <w:sz w:val="32"/>
          <w:szCs w:val="32"/>
        </w:rPr>
        <w:t>20</w:t>
      </w:r>
      <w:r>
        <w:rPr>
          <w:rStyle w:val="6"/>
          <w:rFonts w:hint="eastAsia" w:ascii="楷体" w:hAnsi="楷体" w:eastAsia="楷体"/>
          <w:spacing w:val="-4"/>
          <w:sz w:val="32"/>
          <w:szCs w:val="32"/>
        </w:rPr>
        <w:tab/>
      </w:r>
      <w:r>
        <w:rPr>
          <w:rStyle w:val="6"/>
          <w:rFonts w:hint="eastAsia" w:ascii="楷体" w:hAnsi="楷体" w:eastAsia="楷体"/>
          <w:spacing w:val="-4"/>
          <w:sz w:val="32"/>
          <w:szCs w:val="32"/>
        </w:rPr>
        <w:t>100</w:t>
      </w:r>
    </w:p>
    <w:p w14:paraId="7AA447E8">
      <w:pPr>
        <w:spacing w:line="540" w:lineRule="exact"/>
        <w:ind w:firstLine="640"/>
        <w:rPr>
          <w:rStyle w:val="6"/>
          <w:rFonts w:hint="eastAsia" w:ascii="黑体" w:hAnsi="黑体" w:eastAsia="黑体"/>
        </w:rPr>
      </w:pPr>
      <w:r>
        <w:rPr>
          <w:rStyle w:val="6"/>
          <w:rFonts w:hint="eastAsia" w:ascii="黑体" w:hAnsi="黑体" w:eastAsia="黑体"/>
          <w:spacing w:val="-4"/>
          <w:sz w:val="32"/>
          <w:szCs w:val="32"/>
        </w:rPr>
        <w:t>四、绩效评价指标分析</w:t>
      </w:r>
      <w:r>
        <w:rPr>
          <w:rStyle w:val="6"/>
          <w:rFonts w:hint="eastAsia" w:ascii="黑体" w:hAnsi="黑体" w:eastAsia="黑体"/>
        </w:rPr>
        <w:t xml:space="preserve"> </w:t>
      </w:r>
    </w:p>
    <w:p w14:paraId="0B679B67">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6"/>
          <w:rFonts w:hint="eastAsia" w:ascii="楷体" w:hAnsi="楷体" w:eastAsia="楷体"/>
          <w:spacing w:val="-4"/>
          <w:sz w:val="32"/>
          <w:szCs w:val="32"/>
        </w:rPr>
        <w:t>项目决策情况</w:t>
      </w:r>
    </w:p>
    <w:p w14:paraId="20C1654F">
      <w:pPr>
        <w:tabs>
          <w:tab w:val="center" w:pos="4295"/>
        </w:tabs>
        <w:spacing w:line="540" w:lineRule="exact"/>
        <w:ind w:firstLine="567"/>
        <w:rPr>
          <w:rStyle w:val="6"/>
          <w:rFonts w:hint="eastAsia" w:ascii="楷体" w:hAnsi="楷体" w:eastAsia="楷体"/>
          <w:b w:val="0"/>
          <w:spacing w:val="-4"/>
          <w:sz w:val="32"/>
          <w:szCs w:val="32"/>
        </w:rPr>
      </w:pPr>
      <w:r>
        <w:rPr>
          <w:rStyle w:val="6"/>
          <w:rFonts w:hint="eastAsia" w:ascii="楷体" w:hAnsi="楷体" w:eastAsia="楷体"/>
          <w:spacing w:val="-4"/>
          <w:sz w:val="32"/>
          <w:szCs w:val="32"/>
        </w:rPr>
        <w:t>（一）项目决策情况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1.立项依据充分性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（1）木县党财（2023）44号</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（2）政府办公室购置新能源车辆项目实施方案</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2.立项程序规范性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①项目立项程序：提报项目建议书、申请立项过程等均按照立项程序的相关规定进行；</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②审批文件、材料：本项目审批文件有：木县党财（2023）44号，审批文件及材料齐全；</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③项目事前工作：本项目已经过集体决策。</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3.绩效目标合理性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木垒县政府办购置新能源车辆项目设立了项目绩效目标，与购买新能源汽车具有相关性，项目的预期产出效益和效果也均能符合正常的业绩水平，并且与预算确定的项目投资额或资金量相匹配。</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4.绩效指标明确性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木垒县政府办购置新能源车辆项目将项目绩效目标细化分解为具体的绩效指标，一级指标共4条，二级指标共9条，三级指标共11条，其中量化指标条数共10条，所有绩效指标均通过清晰、可衡量的指标值予以体现，并且做到了与项目目标任务数或计划数相对应。</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5.预算编制科学性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本项目预算数经过木县党财（2023）会议确定，预算内容与项目内容无偏差，预算额度测算依据充分，项目投资额与工作任务匹配性100%，不存在偏差性。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6.资金分配合理性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本项目预算资金分配依据《木县党财（2023）44号》，项目资金分配额度无偏低或偏高情况，分配额度合理。项目单位为木垒县政府办公室，单位位于木垒县，资金分配与单位实际相适应。</w:t>
      </w:r>
      <w:r>
        <w:rPr>
          <w:rStyle w:val="6"/>
          <w:rFonts w:hint="eastAsia" w:ascii="楷体" w:hAnsi="楷体" w:eastAsia="楷体"/>
          <w:spacing w:val="-4"/>
          <w:sz w:val="32"/>
          <w:szCs w:val="32"/>
        </w:rPr>
        <w:tab/>
      </w:r>
    </w:p>
    <w:p w14:paraId="36584597">
      <w:pPr>
        <w:spacing w:line="540" w:lineRule="exact"/>
        <w:ind w:firstLine="567" w:firstLineChars="181"/>
        <w:rPr>
          <w:rStyle w:val="6"/>
          <w:rFonts w:hint="eastAsia" w:ascii="楷体" w:hAnsi="楷体" w:eastAsia="楷体"/>
          <w:spacing w:val="-4"/>
          <w:sz w:val="32"/>
          <w:szCs w:val="32"/>
        </w:rPr>
      </w:pPr>
      <w:r>
        <w:rPr>
          <w:rFonts w:hint="eastAsia" w:ascii="楷体" w:hAnsi="楷体" w:eastAsia="楷体"/>
          <w:b/>
          <w:spacing w:val="-4"/>
          <w:sz w:val="32"/>
          <w:szCs w:val="32"/>
        </w:rPr>
        <w:t>（二）</w:t>
      </w:r>
      <w:r>
        <w:rPr>
          <w:rStyle w:val="6"/>
          <w:rFonts w:hint="eastAsia" w:ascii="楷体" w:hAnsi="楷体" w:eastAsia="楷体"/>
          <w:spacing w:val="-4"/>
          <w:sz w:val="32"/>
          <w:szCs w:val="32"/>
        </w:rPr>
        <w:t>项目过程情况</w:t>
      </w:r>
    </w:p>
    <w:p w14:paraId="73728D0A">
      <w:pPr>
        <w:spacing w:line="540" w:lineRule="exact"/>
        <w:ind w:firstLine="567"/>
        <w:rPr>
          <w:rStyle w:val="6"/>
          <w:rFonts w:hint="eastAsia" w:ascii="楷体" w:hAnsi="楷体" w:eastAsia="楷体"/>
          <w:b w:val="0"/>
          <w:spacing w:val="-4"/>
          <w:sz w:val="32"/>
          <w:szCs w:val="32"/>
        </w:rPr>
      </w:pPr>
      <w:r>
        <w:rPr>
          <w:rStyle w:val="6"/>
          <w:rFonts w:hint="eastAsia" w:ascii="楷体" w:hAnsi="楷体" w:eastAsia="楷体"/>
          <w:spacing w:val="-4"/>
          <w:sz w:val="32"/>
          <w:szCs w:val="32"/>
        </w:rPr>
        <w:t>（二）项目过程情况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1.资金到位率：</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实际到位资金51.51万元，预算资金51.51万元，资金到位率100%。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2.预算执行率</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年初预算数51.51万元，全年预算数51.51万元，全年执行数51.51万元，预算执行率为100%。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3.资金使用合规性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3.1 资金使用符合、财务管理制度以及有关专项资金管理办法的规定；</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3.2 资金的拨付严格按照木垒县政府办公室单位资金拨付审批程序进行，项目资金拨付手续齐全。</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3.3 本项目资金合同规定的用途为：采购3辆新能源公务用车。符合项目预算批复及合同规定的用途；</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3.4 项目资金截至2023年4月30日已拨付至100%，过程不存在截留、挤占、挪用、虚列支出等情况。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4.管理制度健全性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4.1 本项目已制定《木垒县政府办公室财务管理制度》，管理制度健全；</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4.2 本项目财务及业务管理制度符合《中华人民共和国政府采购法》、《中华人民共和国会计法》等相关法律法规，财务和业务管理制度已经过三重一大审批通过，确保了各项制度的合法合规性及完整性。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5.制度执行有效性</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5.1 项目的审批、招标、购买、验收过程均遵守相关法律法规和相关管理规定；</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5.2 本项目无调整情况。</w:t>
      </w:r>
    </w:p>
    <w:p w14:paraId="0C99BB0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6"/>
          <w:rFonts w:hint="eastAsia" w:ascii="楷体" w:hAnsi="楷体" w:eastAsia="楷体"/>
          <w:spacing w:val="-4"/>
          <w:sz w:val="32"/>
          <w:szCs w:val="32"/>
        </w:rPr>
        <w:t>项目产出情况</w:t>
      </w:r>
    </w:p>
    <w:p w14:paraId="00A817AB">
      <w:pPr>
        <w:spacing w:line="540" w:lineRule="exact"/>
        <w:ind w:firstLine="567"/>
        <w:rPr>
          <w:rStyle w:val="6"/>
          <w:rFonts w:hint="eastAsia" w:ascii="楷体" w:hAnsi="楷体" w:eastAsia="楷体"/>
          <w:b w:val="0"/>
          <w:spacing w:val="-4"/>
          <w:sz w:val="32"/>
          <w:szCs w:val="32"/>
        </w:rPr>
      </w:pPr>
      <w:r>
        <w:rPr>
          <w:rStyle w:val="6"/>
          <w:rFonts w:hint="eastAsia" w:ascii="楷体" w:hAnsi="楷体" w:eastAsia="楷体"/>
          <w:spacing w:val="-4"/>
          <w:sz w:val="32"/>
          <w:szCs w:val="32"/>
        </w:rPr>
        <w:t>（三）项目产出情况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我单位购置新能源车辆项目截止到2023年12月31日，已完成购置3辆新能源汽车任务；其中：</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1.项目完成数量</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指标1：购置新能源车辆数量，指标值：3辆，实际完成值3辆，指标完成率100%；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2.项目完成质量：</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指标1：购置车辆质量合格率，指标值：100%，实际完成值100%，指标完成率100%；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指标2：政府采购执行率，指标值：100%，实际完成值100%，指标完成率100%。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3.项目完成时效</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指标1：购置完成时间，指标值：2023年6月1日前，实际完成值2023年6月1日前，指标完成率100%。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4.项目完成成本</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指标1：车辆单价，指标值：&lt;=17.17万元，实际完成值17.17万元，指标完成率100%；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指标2：驾驶安全事故发生率，指标值：&lt;=1%，实际完成值0%，指标完成率100%。</w:t>
      </w:r>
    </w:p>
    <w:p w14:paraId="4BA0A9BA">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6"/>
          <w:rFonts w:hint="eastAsia" w:ascii="楷体" w:hAnsi="楷体" w:eastAsia="楷体"/>
          <w:spacing w:val="-4"/>
          <w:sz w:val="32"/>
          <w:szCs w:val="32"/>
        </w:rPr>
        <w:t>项目效益情况</w:t>
      </w:r>
    </w:p>
    <w:p w14:paraId="6D9C1DA9">
      <w:pPr>
        <w:spacing w:line="540" w:lineRule="exact"/>
        <w:ind w:firstLine="567"/>
        <w:rPr>
          <w:rStyle w:val="6"/>
          <w:rFonts w:hint="eastAsia" w:ascii="楷体" w:hAnsi="楷体" w:eastAsia="楷体"/>
          <w:spacing w:val="-4"/>
          <w:sz w:val="32"/>
          <w:szCs w:val="32"/>
        </w:rPr>
      </w:pPr>
      <w:r>
        <w:rPr>
          <w:rStyle w:val="6"/>
          <w:rFonts w:hint="eastAsia" w:ascii="楷体" w:hAnsi="楷体" w:eastAsia="楷体"/>
          <w:spacing w:val="-4"/>
          <w:sz w:val="32"/>
          <w:szCs w:val="32"/>
        </w:rPr>
        <w:t>（四）项目效益情况。</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我单位购置新能源汽车项目截止到2023年12月31日，已完成100%；其中：</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1.项目实施的经济效益分析：</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指标1：车辆维修费用降低率，指标值：&gt;=3%，实际完成值5%，指标完成率100%。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2.项目实施的社会效益分析</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指标1：车辆正常运转率，指标值：&gt;=95%，实际完成值95%，指标完成率100%。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指标1：燃油消耗降低率，指标值：&gt;=50%，实际完成值50%，指标完成率100%。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3.项目实施的生态效益分析</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指标1：二氧化碳排放量降低率，指标值：&gt;=50%，实际完成值50%，指标完成率100%。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（五）满意度指标完成情况分析</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指标1：乘坐人员满意度，指标值：&gt;=95%，实际完成值95%，指标完成率100%。</w:t>
      </w:r>
    </w:p>
    <w:p w14:paraId="192AC094">
      <w:pPr>
        <w:numPr>
          <w:ilvl w:val="0"/>
          <w:numId w:val="1"/>
        </w:num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预算执行进度与绩效指标偏差</w:t>
      </w:r>
    </w:p>
    <w:p w14:paraId="182A9BB3">
      <w:pPr>
        <w:spacing w:line="540" w:lineRule="exact"/>
        <w:ind w:firstLine="567"/>
        <w:rPr>
          <w:rStyle w:val="6"/>
          <w:rFonts w:hint="eastAsia" w:ascii="黑体" w:hAnsi="黑体" w:eastAsia="黑体"/>
          <w:b w:val="0"/>
          <w:spacing w:val="-4"/>
          <w:sz w:val="32"/>
          <w:szCs w:val="32"/>
        </w:rPr>
      </w:pPr>
      <w:r>
        <w:rPr>
          <w:rStyle w:val="6"/>
          <w:rFonts w:hint="eastAsia" w:ascii="楷体" w:hAnsi="楷体" w:eastAsia="楷体"/>
          <w:spacing w:val="-4"/>
          <w:sz w:val="32"/>
          <w:szCs w:val="32"/>
        </w:rPr>
        <w:t>（一）预算执行进度</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根据新能源汽车购置合同内容，木垒县政府办公室于2023年4月16日拨付51.51万元至吉木萨尔县杰冠汽车销售服务有限木垒县分公司。截至2023年12月31日已执行51.51万元，预算执行率100%。</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（二）绩效指标偏差</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 xml:space="preserve"> 本项目绩效指标无偏差情况。</w:t>
      </w:r>
    </w:p>
    <w:p w14:paraId="35A3E2C4">
      <w:pPr>
        <w:numPr>
          <w:ilvl w:val="0"/>
          <w:numId w:val="1"/>
        </w:num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主要经验及做法、存在的问题及原因分析</w:t>
      </w:r>
    </w:p>
    <w:p w14:paraId="6B3F50A4">
      <w:pPr>
        <w:numPr>
          <w:ilvl w:val="0"/>
          <w:numId w:val="2"/>
        </w:numPr>
        <w:spacing w:line="540" w:lineRule="exact"/>
        <w:ind w:firstLine="567"/>
        <w:rPr>
          <w:rStyle w:val="6"/>
          <w:rFonts w:hint="eastAsia" w:ascii="楷体" w:hAnsi="楷体" w:eastAsia="楷体"/>
          <w:b w:val="0"/>
          <w:spacing w:val="-4"/>
          <w:sz w:val="32"/>
          <w:szCs w:val="32"/>
        </w:rPr>
      </w:pPr>
      <w:r>
        <w:rPr>
          <w:rStyle w:val="6"/>
          <w:rFonts w:hint="eastAsia" w:ascii="楷体" w:hAnsi="楷体" w:eastAsia="楷体"/>
          <w:spacing w:val="-4"/>
          <w:sz w:val="32"/>
          <w:szCs w:val="32"/>
        </w:rPr>
        <w:t>主要经验及做法</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（1）是领导高度重视。专项资金预算下拨后，主要领导和分管领导高度重视，落实责任分工，确保项目顺利进行。</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（二）后续工作计划</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我们将进一步加强资金管理、项目管理，用制度、用规范来有效提高项目进度，专人负责资金、专人负责项目现场管理，确保该项目在既定时间内完成所有工程量，达到预期效果。</w:t>
      </w:r>
    </w:p>
    <w:p w14:paraId="7705A2CE">
      <w:pPr>
        <w:spacing w:line="540" w:lineRule="exact"/>
        <w:rPr>
          <w:rFonts w:ascii="仿宋_GB2312" w:eastAsia="仿宋_GB2312"/>
          <w:spacing w:val="-4"/>
          <w:sz w:val="32"/>
          <w:szCs w:val="32"/>
        </w:rPr>
      </w:pPr>
      <w:r>
        <w:rPr>
          <w:rStyle w:val="6"/>
          <w:rFonts w:hint="eastAsia" w:ascii="楷体" w:hAnsi="楷体" w:eastAsia="楷体"/>
          <w:spacing w:val="-4"/>
          <w:sz w:val="32"/>
          <w:szCs w:val="32"/>
        </w:rPr>
        <w:t>（三）存在的问题及原因分析</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1.存在的问题：</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资金支付过于缓慢。</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2.改进措施：</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（1）资金支付应该按照合同规定时间按时支付，以保证合同质量。</w:t>
      </w:r>
    </w:p>
    <w:p w14:paraId="2E43A329">
      <w:p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七、有关建议</w:t>
      </w:r>
    </w:p>
    <w:p w14:paraId="73D72C24">
      <w:pPr>
        <w:spacing w:line="540" w:lineRule="exact"/>
        <w:ind w:firstLine="567"/>
        <w:rPr>
          <w:rStyle w:val="6"/>
          <w:rFonts w:hint="eastAsia" w:ascii="楷体" w:hAnsi="楷体" w:eastAsia="楷体"/>
          <w:spacing w:val="-4"/>
          <w:sz w:val="32"/>
          <w:szCs w:val="32"/>
        </w:rPr>
      </w:pPr>
      <w:r>
        <w:rPr>
          <w:rStyle w:val="6"/>
          <w:rFonts w:hint="eastAsia" w:ascii="楷体" w:hAnsi="楷体" w:eastAsia="楷体"/>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2.健全制度，加强督促。针对项目实施中存在的问题，进一步完善相关制度，加强督促检查，确保质量安全和建设进度；同时及时完善资料，妥善保管档案。</w:t>
      </w:r>
    </w:p>
    <w:p w14:paraId="20C54F86">
      <w:pPr>
        <w:spacing w:line="540" w:lineRule="exact"/>
        <w:ind w:firstLine="640"/>
        <w:rPr>
          <w:rStyle w:val="6"/>
          <w:rFonts w:hint="eastAsia" w:ascii="黑体" w:hAnsi="黑体" w:eastAsia="黑体"/>
          <w:b w:val="0"/>
          <w:spacing w:val="-4"/>
          <w:sz w:val="32"/>
          <w:szCs w:val="32"/>
        </w:rPr>
      </w:pPr>
      <w:r>
        <w:rPr>
          <w:rStyle w:val="6"/>
          <w:rFonts w:hint="eastAsia" w:ascii="黑体" w:hAnsi="黑体" w:eastAsia="黑体"/>
          <w:spacing w:val="-4"/>
          <w:sz w:val="32"/>
          <w:szCs w:val="32"/>
        </w:rPr>
        <w:t>八、其他需要说明的问题</w:t>
      </w:r>
    </w:p>
    <w:p w14:paraId="4C8897A1">
      <w:pPr>
        <w:spacing w:line="540" w:lineRule="exact"/>
        <w:rPr>
          <w:rStyle w:val="6"/>
          <w:rFonts w:hint="eastAsia" w:ascii="楷体" w:hAnsi="楷体" w:eastAsia="楷体"/>
          <w:b w:val="0"/>
          <w:spacing w:val="-4"/>
          <w:sz w:val="32"/>
          <w:szCs w:val="32"/>
        </w:rPr>
      </w:pPr>
      <w:r>
        <w:rPr>
          <w:rStyle w:val="6"/>
          <w:rFonts w:hint="eastAsia" w:ascii="楷体" w:hAnsi="楷体" w:eastAsia="楷体"/>
          <w:spacing w:val="-4"/>
          <w:sz w:val="32"/>
          <w:szCs w:val="32"/>
        </w:rPr>
        <w:t>（一）本项目部分间接产生的效果无法准确在短期内衡量，因此很难认定项目产生的全部效果。通过指标来反映绩效，指标的科学性和全面性需要不断地完善和研究。</w:t>
      </w:r>
      <w:r>
        <w:rPr>
          <w:rStyle w:val="6"/>
          <w:rFonts w:hint="eastAsia" w:ascii="楷体" w:hAnsi="楷体" w:eastAsia="楷体"/>
          <w:spacing w:val="-4"/>
          <w:sz w:val="32"/>
          <w:szCs w:val="32"/>
        </w:rPr>
        <w:br w:type="textWrapping"/>
      </w:r>
      <w:r>
        <w:rPr>
          <w:rStyle w:val="6"/>
          <w:rFonts w:hint="eastAsia" w:ascii="楷体" w:hAnsi="楷体" w:eastAsia="楷体"/>
          <w:spacing w:val="-4"/>
          <w:sz w:val="32"/>
          <w:szCs w:val="32"/>
        </w:rPr>
        <w:t>（二）我单位对上述项目支出绩效评价报告内反映内容的真实性、完整性负责，接受上级部门及社会公众监督。</w:t>
      </w:r>
    </w:p>
    <w:p w14:paraId="4FDF8789">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4CBB5"/>
    <w:multiLevelType w:val="singleLevel"/>
    <w:tmpl w:val="A4B4CBB5"/>
    <w:lvl w:ilvl="0" w:tentative="0">
      <w:start w:val="1"/>
      <w:numFmt w:val="chineseCounting"/>
      <w:suff w:val="nothing"/>
      <w:lvlText w:val="（%1）"/>
      <w:lvlJc w:val="left"/>
      <w:rPr>
        <w:rFonts w:hint="eastAsia"/>
      </w:rPr>
    </w:lvl>
  </w:abstractNum>
  <w:abstractNum w:abstractNumId="1">
    <w:nsid w:val="3FEA218F"/>
    <w:multiLevelType w:val="singleLevel"/>
    <w:tmpl w:val="3FEA218F"/>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44D"/>
    <w:rsid w:val="00301558"/>
    <w:rsid w:val="00465A48"/>
    <w:rsid w:val="00513594"/>
    <w:rsid w:val="005E644D"/>
    <w:rsid w:val="00760AF4"/>
    <w:rsid w:val="009402DD"/>
    <w:rsid w:val="009413BD"/>
    <w:rsid w:val="0A32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tabs>
        <w:tab w:val="center" w:pos="4153"/>
        <w:tab w:val="right" w:pos="8306"/>
      </w:tabs>
      <w:snapToGrid w:val="0"/>
      <w:jc w:val="center"/>
    </w:pPr>
    <w:rPr>
      <w:sz w:val="18"/>
      <w:szCs w:val="18"/>
    </w:rPr>
  </w:style>
  <w:style w:type="character" w:styleId="6">
    <w:name w:val="Strong"/>
    <w:basedOn w:val="5"/>
    <w:autoRedefine/>
    <w:qFormat/>
    <w:uiPriority w:val="0"/>
    <w:rPr>
      <w:b/>
    </w:r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5590</Words>
  <Characters>5947</Characters>
  <Lines>43</Lines>
  <Paragraphs>12</Paragraphs>
  <TotalTime>1</TotalTime>
  <ScaleCrop>false</ScaleCrop>
  <LinksUpToDate>false</LinksUpToDate>
  <CharactersWithSpaces>5993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2024-08-14T08:57:00Z</dcterms:created>
  <dc:creator>慧 吉</dc:creator>
  <cp:lastModifiedBy>哎呦喂</cp:lastModifiedBy>
  <dcterms:modified xsi:type="dcterms:W3CDTF">2024-12-27T04:55:08Z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eyJoZGlkIjoiMzEwNTM5NzYwMDRjMzkwZTVkZjY2ODkwMGIxNGU0OTUiLCJ1c2VySWQiOiIxMTcxMDQ1MzEwIn0=</vt:lpwstr>
  </property>
  <property fmtid="{D5CDD505-2E9C-101B-9397-08002B2CF9AE}" pid="3" name="KSOProductBuildVer">
    <vt:lpwstr>2052-12.1.0.19302</vt:lpwstr>
  </property>
  <property fmtid="{D5CDD505-2E9C-101B-9397-08002B2CF9AE}" pid="4" name="ICV">
    <vt:lpwstr>3283B31CAEEE43AD909A67DD17EE8762_12</vt:lpwstr>
  </property>
</Properties>
</file>